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3465A4"/>
        </w:rPr>
      </w:pPr>
      <w:r>
        <w:rPr>
          <w:b/>
          <w:color w:val="3465A4"/>
          <w:sz w:val="56"/>
        </w:rPr>
        <w:t>Plataforma Unificada do Estado</w:t>
        <w:br/>
        <w:t>Decisão Técnica (TAD) e Estrutura Tecnológica</w:t>
      </w:r>
    </w:p>
    <w:p>
      <w:pPr>
        <w:pStyle w:val="Subttulo"/>
        <w:jc w:val="center"/>
        <w:rPr>
          <w:color w:val="3465A4"/>
        </w:rPr>
      </w:pPr>
      <w:r>
        <w:rPr>
          <w:rFonts w:ascii="Calibri" w:hAnsi="Calibri"/>
          <w:b w:val="false"/>
          <w:color w:val="3465A4"/>
          <w:sz w:val="28"/>
        </w:rPr>
        <w:t>Modelo global de arquitectura — simples por desenho, segura por defeito</w:t>
      </w:r>
    </w:p>
    <w:p>
      <w:pPr>
        <w:pStyle w:val="Normal"/>
        <w:jc w:val="center"/>
        <w:rPr>
          <w:color w:val="3465A4"/>
        </w:rPr>
      </w:pPr>
      <w:r>
        <w:rPr>
          <w:b w:val="false"/>
          <w:color w:val="3465A4"/>
          <w:sz w:val="22"/>
        </w:rPr>
        <w:t>Versão 1.0  •  Data: 06/11/2025</w:t>
      </w:r>
    </w:p>
    <w:p>
      <w:pPr>
        <w:pStyle w:val="Normal"/>
        <w:rPr>
          <w:color w:val="3465A4"/>
        </w:rPr>
      </w:pPr>
      <w:r>
        <w:rPr>
          <w:color w:val="3465A4"/>
        </w:rPr>
      </w:r>
      <w:r>
        <w:br w:type="page"/>
      </w:r>
    </w:p>
    <w:p>
      <w:pPr>
        <w:pStyle w:val="Heading1"/>
        <w:rPr>
          <w:color w:val="3465A4"/>
        </w:rPr>
      </w:pPr>
      <w:bookmarkStart w:id="0" w:name="__RefHeading___Toc852_2775655786"/>
      <w:bookmarkEnd w:id="0"/>
      <w:r>
        <w:rPr>
          <w:color w:val="3465A4"/>
        </w:rPr>
        <w:t>Índice</w:t>
      </w:r>
    </w:p>
    <w:p>
      <w:pPr>
        <w:pStyle w:val="Normal"/>
        <w:rPr>
          <w:color w:val="3465A4"/>
        </w:rPr>
      </w:pPr>
      <w:r>
        <w:rPr>
          <w:color w:val="3465A4"/>
        </w:rPr>
      </w:r>
    </w:p>
    <w:p>
      <w:pPr>
        <w:pStyle w:val="Subttulo"/>
        <w:rPr>
          <w:color w:val="3465A4"/>
        </w:rPr>
      </w:pPr>
      <w:r>
        <w:rPr>
          <w:color w:val="3465A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rPr>
              <w:color w:val="3465A4"/>
            </w:rPr>
          </w:pPr>
          <w:r>
            <w:rPr>
              <w:color w:val="3465A4"/>
            </w:rPr>
            <w:t>Table of Contents</w:t>
          </w:r>
        </w:p>
        <w:p>
          <w:pPr>
            <w:pStyle w:val="Contents1"/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852_2775655786">
            <w:r>
              <w:rPr>
                <w:rStyle w:val="IndexLink"/>
              </w:rPr>
              <w:t>Índice</w:t>
              <w:tab/>
              <w:t>2</w:t>
            </w:r>
          </w:hyperlink>
        </w:p>
        <w:p>
          <w:pPr>
            <w:pStyle w:val="Contents1"/>
            <w:rPr/>
          </w:pPr>
          <w:hyperlink w:anchor="__RefHeading___Toc854_2775655786">
            <w:r>
              <w:rPr>
                <w:rStyle w:val="IndexLink"/>
              </w:rPr>
              <w:t>1. Contexto e Objectivos</w:t>
              <w:tab/>
              <w:t>3</w:t>
            </w:r>
          </w:hyperlink>
        </w:p>
        <w:p>
          <w:pPr>
            <w:pStyle w:val="Contents1"/>
            <w:rPr/>
          </w:pPr>
          <w:hyperlink w:anchor="__RefHeading___Toc856_2775655786">
            <w:r>
              <w:rPr>
                <w:rStyle w:val="IndexLink"/>
              </w:rPr>
              <w:t>2. Princípios e Não</w:t>
              <w:noBreakHyphen/>
              <w:t>Objectivos</w:t>
              <w:tab/>
              <w:t>3</w:t>
            </w:r>
          </w:hyperlink>
        </w:p>
        <w:p>
          <w:pPr>
            <w:pStyle w:val="Contents2"/>
            <w:tabs>
              <w:tab w:val="clear" w:pos="9463"/>
              <w:tab w:val="right" w:pos="9746" w:leader="dot"/>
            </w:tabs>
            <w:rPr/>
          </w:pPr>
          <w:hyperlink w:anchor="__RefHeading___Toc858_2775655786">
            <w:r>
              <w:rPr>
                <w:rStyle w:val="IndexLink"/>
              </w:rPr>
              <w:t>2.1 Princípios</w:t>
              <w:tab/>
              <w:t>3</w:t>
            </w:r>
          </w:hyperlink>
        </w:p>
        <w:p>
          <w:pPr>
            <w:pStyle w:val="Contents2"/>
            <w:tabs>
              <w:tab w:val="clear" w:pos="9463"/>
              <w:tab w:val="right" w:pos="9746" w:leader="dot"/>
            </w:tabs>
            <w:rPr/>
          </w:pPr>
          <w:hyperlink w:anchor="__RefHeading___Toc860_2775655786">
            <w:r>
              <w:rPr>
                <w:rStyle w:val="IndexLink"/>
              </w:rPr>
              <w:t>2.2 Não</w:t>
              <w:noBreakHyphen/>
              <w:t>Objectivos</w:t>
              <w:tab/>
              <w:t>3</w:t>
            </w:r>
          </w:hyperlink>
        </w:p>
        <w:p>
          <w:pPr>
            <w:pStyle w:val="Contents1"/>
            <w:rPr/>
          </w:pPr>
          <w:hyperlink w:anchor="__RefHeading___Toc862_2775655786">
            <w:r>
              <w:rPr>
                <w:rStyle w:val="IndexLink"/>
              </w:rPr>
              <w:t>3. Decisões Tecnológicas (Resumo)</w:t>
              <w:tab/>
              <w:t>3</w:t>
            </w:r>
          </w:hyperlink>
        </w:p>
        <w:p>
          <w:pPr>
            <w:pStyle w:val="Contents1"/>
            <w:rPr/>
          </w:pPr>
          <w:hyperlink w:anchor="__RefHeading___Toc864_2775655786">
            <w:r>
              <w:rPr>
                <w:rStyle w:val="IndexLink"/>
              </w:rPr>
              <w:t>4. Estrutura Tecnológica</w:t>
              <w:tab/>
              <w:t>4</w:t>
            </w:r>
          </w:hyperlink>
        </w:p>
        <w:p>
          <w:pPr>
            <w:pStyle w:val="Contents1"/>
            <w:rPr/>
          </w:pPr>
          <w:hyperlink w:anchor="__RefHeading___Toc866_2775655786">
            <w:r>
              <w:rPr>
                <w:rStyle w:val="IndexLink"/>
              </w:rPr>
              <w:t>5. Alta Disponibilidade, DR e Metas de Serviço</w:t>
              <w:tab/>
              <w:t>5</w:t>
            </w:r>
          </w:hyperlink>
        </w:p>
        <w:p>
          <w:pPr>
            <w:pStyle w:val="Contents1"/>
            <w:rPr/>
          </w:pPr>
          <w:hyperlink w:anchor="__RefHeading___Toc868_2775655786">
            <w:r>
              <w:rPr>
                <w:rStyle w:val="IndexLink"/>
              </w:rPr>
              <w:t>6. Segurança (Zero Trust)</w:t>
              <w:tab/>
              <w:t>5</w:t>
            </w:r>
          </w:hyperlink>
        </w:p>
        <w:p>
          <w:pPr>
            <w:pStyle w:val="Contents1"/>
            <w:rPr/>
          </w:pPr>
          <w:hyperlink w:anchor="__RefHeading___Toc870_2775655786">
            <w:r>
              <w:rPr>
                <w:rStyle w:val="IndexLink"/>
              </w:rPr>
              <w:t>7. Governação de APIs e Dados</w:t>
              <w:tab/>
              <w:t>5</w:t>
            </w:r>
          </w:hyperlink>
        </w:p>
        <w:p>
          <w:pPr>
            <w:pStyle w:val="Contents1"/>
            <w:rPr/>
          </w:pPr>
          <w:hyperlink w:anchor="__RefHeading___Toc872_2775655786">
            <w:r>
              <w:rPr>
                <w:rStyle w:val="IndexLink"/>
              </w:rPr>
              <w:t>8. Padrões de Entrega e Operação</w:t>
              <w:tab/>
              <w:t>6</w:t>
            </w:r>
          </w:hyperlink>
        </w:p>
        <w:p>
          <w:pPr>
            <w:pStyle w:val="Contents1"/>
            <w:rPr/>
          </w:pPr>
          <w:hyperlink w:anchor="__RefHeading___Toc874_2775655786">
            <w:r>
              <w:rPr>
                <w:rStyle w:val="IndexLink"/>
              </w:rPr>
              <w:t>9. Fases de Implantação</w:t>
              <w:tab/>
              <w:t>6</w:t>
            </w:r>
          </w:hyperlink>
        </w:p>
        <w:p>
          <w:pPr>
            <w:pStyle w:val="Contents1"/>
            <w:rPr/>
          </w:pPr>
          <w:hyperlink w:anchor="__RefHeading___Toc876_2775655786">
            <w:r>
              <w:rPr>
                <w:rStyle w:val="IndexLink"/>
              </w:rPr>
              <w:t>10. Métricas de Sucesso</w:t>
              <w:tab/>
              <w:t>6</w:t>
            </w:r>
          </w:hyperlink>
        </w:p>
        <w:p>
          <w:pPr>
            <w:pStyle w:val="Contents1"/>
            <w:rPr/>
          </w:pPr>
          <w:hyperlink w:anchor="__RefHeading___Toc878_2775655786">
            <w:r>
              <w:rPr>
                <w:rStyle w:val="IndexLink"/>
              </w:rPr>
              <w:t>11. Riscos &amp; Mitigações</w:t>
              <w:tab/>
              <w:t>7</w:t>
            </w:r>
          </w:hyperlink>
        </w:p>
        <w:p>
          <w:pPr>
            <w:pStyle w:val="Contents1"/>
            <w:rPr/>
          </w:pPr>
          <w:hyperlink w:anchor="__RefHeading___Toc880_2775655786">
            <w:r>
              <w:rPr>
                <w:rStyle w:val="IndexLink"/>
              </w:rPr>
              <w:t>12. Registos de Decisão (ADR) — Resumo</w:t>
              <w:tab/>
              <w:t>7</w:t>
            </w:r>
          </w:hyperlink>
        </w:p>
        <w:p>
          <w:pPr>
            <w:pStyle w:val="Contents1"/>
            <w:rPr/>
          </w:pPr>
          <w:hyperlink w:anchor="__RefHeading___Toc882_2775655786">
            <w:r>
              <w:rPr>
                <w:rStyle w:val="IndexLink"/>
              </w:rPr>
              <w:t>13. Figuras</w:t>
              <w:tab/>
              <w:t>8</w:t>
            </w:r>
          </w:hyperlink>
        </w:p>
        <w:p>
          <w:pPr>
            <w:pStyle w:val="Contents1"/>
            <w:rPr/>
          </w:pPr>
          <w:hyperlink w:anchor="__RefHeading___Toc884_2775655786">
            <w:r>
              <w:rPr>
                <w:rStyle w:val="IndexLink"/>
              </w:rPr>
              <w:t>14. Anexos</w:t>
              <w:tab/>
              <w:t>9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Subttulo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rPr>
          <w:color w:val="3465A4"/>
        </w:rPr>
      </w:pPr>
      <w:bookmarkStart w:id="1" w:name="__RefHeading___Toc854_2775655786"/>
      <w:bookmarkEnd w:id="1"/>
      <w:r>
        <w:rPr>
          <w:color w:val="3465A4"/>
        </w:rPr>
        <w:t>1. Contexto e Objectivos</w:t>
      </w:r>
    </w:p>
    <w:p>
      <w:pPr>
        <w:pStyle w:val="Normal"/>
        <w:rPr/>
      </w:pPr>
      <w:r>
        <w:rPr/>
        <w:t>Este documento define as decisões técnicas fundacionais para a Plataforma Unificada do Estado (PUE): uma arquitectura browser-first, com servidores Linux Ubuntu LTS, software open</w:t>
        <w:noBreakHyphen/>
        <w:t>source por defeito, dados soberanos em PostgreSQL e operação disciplinada por GitOps. O objectivo é reduzir entropia, unificar a experiência (um portal, um gateway, um catálogo de APIs) e elevar segurança, disponibilidade e velocidade de entrega.</w:t>
      </w:r>
    </w:p>
    <w:p>
      <w:pPr>
        <w:pStyle w:val="Normal"/>
        <w:rPr/>
      </w:pPr>
      <w:r>
        <w:rPr/>
        <w:t>A PUE assenta em dois data centers governamentais activos (Lisboa e Porto) com replicação em tempo real, suportando tolerância a falhas de rede e de aplicações, e garantindo continuidade de negócio com RTO/RPO definidos por camada.</w:t>
      </w:r>
    </w:p>
    <w:p>
      <w:pPr>
        <w:pStyle w:val="Heading1"/>
        <w:rPr>
          <w:color w:val="3465A4"/>
        </w:rPr>
      </w:pPr>
      <w:bookmarkStart w:id="2" w:name="__RefHeading___Toc856_2775655786"/>
      <w:bookmarkEnd w:id="2"/>
      <w:r>
        <w:rPr>
          <w:color w:val="3465A4"/>
        </w:rPr>
        <w:t>2. Princípios e Não</w:t>
        <w:noBreakHyphen/>
        <w:t>Objectivos</w:t>
      </w:r>
    </w:p>
    <w:p>
      <w:pPr>
        <w:pStyle w:val="Heading2"/>
        <w:rPr>
          <w:color w:val="3465A4"/>
        </w:rPr>
      </w:pPr>
      <w:bookmarkStart w:id="3" w:name="__RefHeading___Toc858_2775655786"/>
      <w:bookmarkEnd w:id="3"/>
      <w:r>
        <w:rPr>
          <w:color w:val="3465A4"/>
        </w:rPr>
        <w:t>2.1 Princípios</w:t>
      </w:r>
    </w:p>
    <w:p>
      <w:pPr>
        <w:pStyle w:val="Normal"/>
        <w:rPr/>
      </w:pPr>
      <w:r>
        <w:rPr/>
        <w:t xml:space="preserve">• </w:t>
      </w:r>
      <w:r>
        <w:rPr/>
        <w:t>Browser-first e PWA para cidadania digital universal.</w:t>
      </w:r>
    </w:p>
    <w:p>
      <w:pPr>
        <w:pStyle w:val="Normal"/>
        <w:rPr/>
      </w:pPr>
      <w:r>
        <w:rPr/>
        <w:t xml:space="preserve">• </w:t>
      </w:r>
      <w:r>
        <w:rPr/>
        <w:t>OSS-first: evitar lock-in; priorizar padrões abertos (OpenAPI, OIDC, SAML, eIDAS).</w:t>
      </w:r>
    </w:p>
    <w:p>
      <w:pPr>
        <w:pStyle w:val="Normal"/>
        <w:rPr/>
      </w:pPr>
      <w:r>
        <w:rPr/>
        <w:t xml:space="preserve">• </w:t>
      </w:r>
      <w:r>
        <w:rPr/>
        <w:t>Simplicidade radical: um portal, um gateway, um catálogo de APIs. Sem cascatas de portais/gateways.</w:t>
      </w:r>
    </w:p>
    <w:p>
      <w:pPr>
        <w:pStyle w:val="Normal"/>
        <w:rPr/>
      </w:pPr>
      <w:r>
        <w:rPr/>
        <w:t xml:space="preserve">• </w:t>
      </w:r>
      <w:r>
        <w:rPr/>
        <w:t>Modular Monolith por domínio: limites claros, menos componentes, maior robustez.</w:t>
      </w:r>
    </w:p>
    <w:p>
      <w:pPr>
        <w:pStyle w:val="Normal"/>
        <w:rPr/>
      </w:pPr>
      <w:r>
        <w:rPr/>
        <w:t xml:space="preserve">• </w:t>
      </w:r>
      <w:r>
        <w:rPr/>
        <w:t>Zero Trust por defeito: tudo autenticado, autorizado e encriptado (mTLS).</w:t>
      </w:r>
    </w:p>
    <w:p>
      <w:pPr>
        <w:pStyle w:val="Normal"/>
        <w:rPr/>
      </w:pPr>
      <w:r>
        <w:rPr/>
        <w:t xml:space="preserve">• </w:t>
      </w:r>
      <w:r>
        <w:rPr/>
        <w:t>Observabilidade total e FinOps para gerir desempenho e custo por serviço.</w:t>
      </w:r>
    </w:p>
    <w:p>
      <w:pPr>
        <w:pStyle w:val="Normal"/>
        <w:rPr/>
      </w:pPr>
      <w:r>
        <w:rPr/>
        <w:t xml:space="preserve">• </w:t>
      </w:r>
      <w:r>
        <w:rPr/>
        <w:t>Acessibilidade e ética: WCAG 2.2 AA e privacidade (RGPD) desde a concepção.</w:t>
      </w:r>
    </w:p>
    <w:p>
      <w:pPr>
        <w:pStyle w:val="Normal"/>
        <w:rPr/>
      </w:pPr>
      <w:r>
        <w:rPr/>
        <w:t xml:space="preserve">• </w:t>
      </w:r>
      <w:r>
        <w:rPr/>
        <w:t>Infra como Código e GitOps: reprodutibilidade, auditoria e segurança na mudança.</w:t>
      </w:r>
    </w:p>
    <w:p>
      <w:pPr>
        <w:pStyle w:val="Heading2"/>
        <w:rPr>
          <w:color w:val="3465A4"/>
        </w:rPr>
      </w:pPr>
      <w:bookmarkStart w:id="4" w:name="__RefHeading___Toc860_2775655786"/>
      <w:bookmarkEnd w:id="4"/>
      <w:r>
        <w:rPr>
          <w:color w:val="3465A4"/>
        </w:rPr>
        <w:t>2.2 Não</w:t>
        <w:noBreakHyphen/>
        <w:t>Objectivos</w:t>
      </w:r>
    </w:p>
    <w:p>
      <w:pPr>
        <w:pStyle w:val="Normal"/>
        <w:rPr/>
      </w:pPr>
      <w:r>
        <w:rPr/>
        <w:t xml:space="preserve">• </w:t>
      </w:r>
      <w:r>
        <w:rPr/>
        <w:t>Não criar ESBs pesados ou múltiplos portais setoriais.</w:t>
      </w:r>
    </w:p>
    <w:p>
      <w:pPr>
        <w:pStyle w:val="Normal"/>
        <w:rPr/>
      </w:pPr>
      <w:r>
        <w:rPr/>
        <w:t xml:space="preserve">• </w:t>
      </w:r>
      <w:r>
        <w:rPr/>
        <w:t>Não promover micro</w:t>
        <w:noBreakHyphen/>
        <w:t>serviços indiscriminadamente; usar apenas onde o custo/benefício o justifique.</w:t>
      </w:r>
    </w:p>
    <w:p>
      <w:pPr>
        <w:pStyle w:val="Normal"/>
        <w:rPr/>
      </w:pPr>
      <w:r>
        <w:rPr/>
        <w:t xml:space="preserve">• </w:t>
      </w:r>
      <w:r>
        <w:rPr/>
        <w:t>Não introduzir tecnologias fora do catálogo sem ADR aprovada.</w:t>
      </w:r>
    </w:p>
    <w:p>
      <w:pPr>
        <w:pStyle w:val="Heading1"/>
        <w:rPr>
          <w:color w:val="3465A4"/>
        </w:rPr>
      </w:pPr>
      <w:bookmarkStart w:id="5" w:name="__RefHeading___Toc862_2775655786"/>
      <w:bookmarkEnd w:id="5"/>
      <w:r>
        <w:rPr>
          <w:color w:val="3465A4"/>
        </w:rPr>
        <w:t>3. Decisões Tecnológicas (Resumo)</w:t>
      </w:r>
    </w:p>
    <w:p>
      <w:pPr>
        <w:pStyle w:val="Normal"/>
        <w:rPr/>
      </w:pPr>
      <w:r>
        <w:rPr/>
        <w:t xml:space="preserve">• </w:t>
      </w:r>
      <w:r>
        <w:rPr/>
        <w:t>Portal Único: Front</w:t>
        <w:noBreakHyphen/>
        <w:t>end React+TypeScript com Design System do Estado; PWA; WCAG 2.2 AA.</w:t>
      </w:r>
    </w:p>
    <w:p>
      <w:pPr>
        <w:pStyle w:val="Normal"/>
        <w:rPr/>
      </w:pPr>
      <w:r>
        <w:rPr/>
        <w:t xml:space="preserve">• </w:t>
      </w:r>
      <w:r>
        <w:rPr/>
        <w:t>Gateway Único: Envoy ou Traefik com mTLS, WAF (OWASP CRS), rate</w:t>
        <w:noBreakHyphen/>
        <w:t>limit e logging unificado.</w:t>
      </w:r>
    </w:p>
    <w:p>
      <w:pPr>
        <w:pStyle w:val="Normal"/>
        <w:rPr/>
      </w:pPr>
      <w:r>
        <w:rPr/>
        <w:t xml:space="preserve">• </w:t>
      </w:r>
      <w:r>
        <w:rPr/>
        <w:t>Identidade: Keycloak (OIDC/SAML), MFA/WebAuthn, integração eIDAS/Cartão de Cidadão.</w:t>
      </w:r>
    </w:p>
    <w:p>
      <w:pPr>
        <w:pStyle w:val="Normal"/>
        <w:rPr/>
      </w:pPr>
      <w:r>
        <w:rPr/>
        <w:t xml:space="preserve">• </w:t>
      </w:r>
      <w:r>
        <w:rPr/>
        <w:t>Back</w:t>
        <w:noBreakHyphen/>
        <w:t>end: Padrões: FastAPI (Python) e Spring Boot (Java); APIs OpenAPI; gRPC interno quando necessário.</w:t>
      </w:r>
    </w:p>
    <w:p>
      <w:pPr>
        <w:pStyle w:val="Normal"/>
        <w:rPr/>
      </w:pPr>
      <w:r>
        <w:rPr/>
        <w:t xml:space="preserve">• </w:t>
      </w:r>
      <w:r>
        <w:rPr/>
        <w:t>Dados OLTP: PostgreSQL 16+ com Patroni (HA). Citus/Timescale conforme necessidade de escala ou séries temporais.</w:t>
      </w:r>
    </w:p>
    <w:p>
      <w:pPr>
        <w:pStyle w:val="Normal"/>
        <w:rPr/>
      </w:pPr>
      <w:r>
        <w:rPr/>
        <w:t xml:space="preserve">• </w:t>
      </w:r>
      <w:r>
        <w:rPr/>
        <w:t>Objectos: Ceph (S3 RGW / RBD) com snapshots e política WORM para backups imutáveis.</w:t>
      </w:r>
    </w:p>
    <w:p>
      <w:pPr>
        <w:pStyle w:val="Normal"/>
        <w:rPr/>
      </w:pPr>
      <w:r>
        <w:rPr/>
        <w:t xml:space="preserve">• </w:t>
      </w:r>
      <w:r>
        <w:rPr/>
        <w:t>Analítica: ClickHouse para consultas rápidas; Apache Superset para BI; catálogo Apache Atlas e qualidade com Great Expectations.</w:t>
      </w:r>
    </w:p>
    <w:p>
      <w:pPr>
        <w:pStyle w:val="Normal"/>
        <w:rPr/>
      </w:pPr>
      <w:r>
        <w:rPr/>
        <w:t xml:space="preserve">• </w:t>
      </w:r>
      <w:r>
        <w:rPr/>
        <w:t>Eventos: NATS para eventos/filas; Debezium (CDC) quando a integração for via logs de BD.</w:t>
      </w:r>
    </w:p>
    <w:p>
      <w:pPr>
        <w:pStyle w:val="Normal"/>
        <w:rPr/>
      </w:pPr>
      <w:r>
        <w:rPr/>
        <w:t xml:space="preserve">• </w:t>
      </w:r>
      <w:r>
        <w:rPr/>
        <w:t>Kubernetes: Clusters upstream sobre Ubuntu + containerd, um por DC; GitOps (Argo CD); OPA/Gatekeeper para políticas.</w:t>
      </w:r>
    </w:p>
    <w:p>
      <w:pPr>
        <w:pStyle w:val="Normal"/>
        <w:rPr/>
      </w:pPr>
      <w:r>
        <w:rPr/>
        <w:t xml:space="preserve">• </w:t>
      </w:r>
      <w:r>
        <w:rPr/>
        <w:t>Segurança: Wazuh, Suricata, Zeek, Velociraptor; gestão de segredos com OpenBao (Vault OSS) + HSM; assinatura de imagens (cosign).</w:t>
      </w:r>
    </w:p>
    <w:p>
      <w:pPr>
        <w:pStyle w:val="Heading1"/>
        <w:rPr>
          <w:color w:val="3465A4"/>
        </w:rPr>
      </w:pPr>
      <w:bookmarkStart w:id="6" w:name="__RefHeading___Toc864_2775655786"/>
      <w:bookmarkEnd w:id="6"/>
      <w:r>
        <w:rPr>
          <w:color w:val="3465A4"/>
        </w:rPr>
        <w:t>4. Estrutura Tecnológica</w:t>
      </w:r>
    </w:p>
    <w:p>
      <w:pPr>
        <w:pStyle w:val="Normal"/>
        <w:rPr/>
      </w:pPr>
      <w:r>
        <w:rPr/>
        <w:t>Matriz de camadas com tecnologias padrão, alternativas aprovadas e observações operacionais.</w:t>
      </w:r>
    </w:p>
    <w:tbl>
      <w:tblPr>
        <w:tblStyle w:val="TableGrid"/>
        <w:tblW w:w="97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36"/>
        <w:gridCol w:w="2436"/>
        <w:gridCol w:w="2436"/>
        <w:gridCol w:w="2435"/>
      </w:tblGrid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Camada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Padrão (Tecnologia)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Alternativas Aprovadas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Observações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Experiência (Web/PWA)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React+TS; Design System; WCAG 2.2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Vue (casos justificados)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Um portal único com workspaces por perfil.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Gateway de Entrada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Envoy/Traefik; mTLS; WAF (OWASP CRS)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—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Sem cascatas de gateways; logs centralizados.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Identidade e AAM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Keycloak (OIDC/SAML); MFA/WebAuthn; eIDAS/CC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—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Sessões curtas; políticas de acesso por papel; mapeamento de atributos.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Back</w:t>
              <w:noBreakHyphen/>
              <w:t>end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FastAPI (Python) / Spring Boot (Java)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gRPC interno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Modular monolith por domínio; OpenAPI obrigatório.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Eventos &amp; Integração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NATS (pub/sub, filas)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Debezium (CDC)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Evitar ESBs pesados; integração leve e observável.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Dados OLTP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PostgreSQL 16+ (Patroni)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Citus; TimescaleDB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HA com quórum; índices e partições por workload.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Object Storage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Ceph (S3 RGW / RBD)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—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Snapshots; políticas WORM; versionamento.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Analítica/BI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ClickHouse; Superset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—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Catálogo de dados (Atlas) e qualidade (GE) obrigatórios.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Plataforma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Kubernetes (Ubuntu + containerd)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OpenStack para IaaS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GitOps (Argo CD); políticas OPA; cosign em imagens.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Observabilidade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Prometheus, Loki, Tempo, Grafana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OpenTelemetry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Traços fim</w:t>
              <w:noBreakHyphen/>
              <w:t>a</w:t>
              <w:noBreakHyphen/>
              <w:t>fim; SLO por serviço.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Segurança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Wazuh; Suricata; Zeek; Velociraptor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RASP quando necessário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Detecção de anomalias; playbooks de resposta.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Segredos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OpenBao (Vault OSS) + HSM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—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Rotação automática e mTLS com SPIFFE/SPIRE (quando adoptado).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CI/CD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GitLab CE; Harbor; Argo CD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—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Pipelines SAST/DAST; assinatura e policy enforcement.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IaC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Terraform; Ansible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—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Reprodutibilidade e auditoria integral.</w:t>
            </w:r>
          </w:p>
        </w:tc>
      </w:tr>
    </w:tbl>
    <w:p>
      <w:pPr>
        <w:pStyle w:val="Heading1"/>
        <w:rPr>
          <w:color w:val="3465A4"/>
        </w:rPr>
      </w:pPr>
      <w:bookmarkStart w:id="7" w:name="__RefHeading___Toc866_2775655786"/>
      <w:bookmarkEnd w:id="7"/>
      <w:r>
        <w:rPr>
          <w:color w:val="3465A4"/>
        </w:rPr>
        <w:t>5. Alta Disponibilidade, DR e Metas de Serviço</w:t>
      </w:r>
    </w:p>
    <w:p>
      <w:pPr>
        <w:pStyle w:val="Normal"/>
        <w:rPr/>
      </w:pPr>
      <w:r>
        <w:rPr/>
        <w:t>Dois data centers activos (Lisboa e Porto). Replicação PostgreSQL síncrona intra</w:t>
        <w:noBreakHyphen/>
        <w:t>DC e síncrona/quase</w:t>
        <w:noBreakHyphen/>
        <w:t>síncrona inter</w:t>
        <w:noBreakHyphen/>
        <w:t>DC conforme latência. Ceph multi</w:t>
        <w:noBreakHyphen/>
        <w:t>site (RBD mirroring / S3 multi</w:t>
        <w:noBreakHyphen/>
        <w:t>region). Witness governamental para quórum.</w:t>
      </w:r>
    </w:p>
    <w:tbl>
      <w:tblPr>
        <w:tblStyle w:val="TableGrid"/>
        <w:tblW w:w="97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36"/>
        <w:gridCol w:w="2436"/>
        <w:gridCol w:w="2436"/>
        <w:gridCol w:w="2435"/>
      </w:tblGrid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Camada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Disponibilidade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RTO (máx.)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RPO (máx.)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Identidade / DNS / Rede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 xml:space="preserve">≥ </w:t>
            </w: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99,99%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5 min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0–30 s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Transaccionais (OLTP)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 xml:space="preserve">≥ </w:t>
            </w: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99,95%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15 min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&lt; 60 s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Analítica / BI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 xml:space="preserve">≥ </w:t>
            </w: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99,9%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60 min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 xml:space="preserve">≤ </w:t>
            </w: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5 min</w:t>
            </w:r>
          </w:p>
        </w:tc>
      </w:tr>
    </w:tbl>
    <w:p>
      <w:pPr>
        <w:pStyle w:val="Heading1"/>
        <w:rPr>
          <w:color w:val="3465A4"/>
        </w:rPr>
      </w:pPr>
      <w:bookmarkStart w:id="8" w:name="__RefHeading___Toc868_2775655786"/>
      <w:bookmarkEnd w:id="8"/>
      <w:r>
        <w:rPr>
          <w:color w:val="3465A4"/>
        </w:rPr>
        <w:t>6. Segurança (Zero Trust)</w:t>
      </w:r>
    </w:p>
    <w:p>
      <w:pPr>
        <w:pStyle w:val="Normal"/>
        <w:rPr/>
      </w:pPr>
      <w:r>
        <w:rPr/>
        <w:t xml:space="preserve">• </w:t>
      </w:r>
      <w:r>
        <w:rPr/>
        <w:t>mTLS entre serviços; identidade de workload (SPIFFE/SPIRE quando aplicável).</w:t>
      </w:r>
    </w:p>
    <w:p>
      <w:pPr>
        <w:pStyle w:val="Normal"/>
        <w:rPr/>
      </w:pPr>
      <w:r>
        <w:rPr/>
        <w:t xml:space="preserve">• </w:t>
      </w:r>
      <w:r>
        <w:rPr/>
        <w:t>Gestão de segredos com HSM; rotação automática; segregação de funções.</w:t>
      </w:r>
    </w:p>
    <w:p>
      <w:pPr>
        <w:pStyle w:val="Normal"/>
        <w:rPr/>
      </w:pPr>
      <w:r>
        <w:rPr/>
        <w:t xml:space="preserve">• </w:t>
      </w:r>
      <w:r>
        <w:rPr/>
        <w:t>SIEM/EDR: Wazuh, Suricata, Zeek, Velociraptor; uso de IA para detecção de anomalias.</w:t>
      </w:r>
    </w:p>
    <w:p>
      <w:pPr>
        <w:pStyle w:val="Normal"/>
        <w:rPr/>
      </w:pPr>
      <w:r>
        <w:rPr/>
        <w:t xml:space="preserve">• </w:t>
      </w:r>
      <w:r>
        <w:rPr/>
        <w:t>WAF no edge; RASP selectivo para aplicações críticas; baselines CIS para Ubuntu/Kubernetes.</w:t>
      </w:r>
    </w:p>
    <w:p>
      <w:pPr>
        <w:pStyle w:val="Normal"/>
        <w:rPr/>
      </w:pPr>
      <w:r>
        <w:rPr/>
        <w:t xml:space="preserve">• </w:t>
      </w:r>
      <w:r>
        <w:rPr/>
        <w:t>RGPD: classificação de dados, pseudonimização, registos de auditoria imutáveis (WORM).</w:t>
      </w:r>
    </w:p>
    <w:p>
      <w:pPr>
        <w:pStyle w:val="Heading1"/>
        <w:rPr>
          <w:color w:val="3465A4"/>
        </w:rPr>
      </w:pPr>
      <w:bookmarkStart w:id="9" w:name="__RefHeading___Toc870_2775655786"/>
      <w:bookmarkEnd w:id="9"/>
      <w:r>
        <w:rPr>
          <w:color w:val="3465A4"/>
        </w:rPr>
        <w:t>7. Governação de APIs e Dados</w:t>
      </w:r>
    </w:p>
    <w:p>
      <w:pPr>
        <w:pStyle w:val="Normal"/>
        <w:rPr/>
      </w:pPr>
      <w:r>
        <w:rPr/>
        <w:t xml:space="preserve">• </w:t>
      </w:r>
      <w:r>
        <w:rPr/>
        <w:t>Catálogo único de APIs (OpenAPI/AsyncAPI) — publicação obrigatória antes de ir a produção.</w:t>
      </w:r>
    </w:p>
    <w:p>
      <w:pPr>
        <w:pStyle w:val="Normal"/>
        <w:rPr/>
      </w:pPr>
      <w:r>
        <w:rPr/>
        <w:t xml:space="preserve">• </w:t>
      </w:r>
      <w:r>
        <w:rPr/>
        <w:t>Versionamento: SemVer; APIs versionadas por cabeçalho ou caminho; depreciação com calendário.</w:t>
      </w:r>
    </w:p>
    <w:p>
      <w:pPr>
        <w:pStyle w:val="Normal"/>
        <w:rPr/>
      </w:pPr>
      <w:r>
        <w:rPr/>
        <w:t xml:space="preserve">• </w:t>
      </w:r>
      <w:r>
        <w:rPr/>
        <w:t>Catálogo de dados (Apache Atlas); qualidade com Great Expectations; contratos de dados por domínio.</w:t>
      </w:r>
    </w:p>
    <w:p>
      <w:pPr>
        <w:pStyle w:val="Normal"/>
        <w:rPr/>
      </w:pPr>
      <w:r>
        <w:rPr/>
        <w:t xml:space="preserve">• </w:t>
      </w:r>
      <w:r>
        <w:rPr/>
        <w:t>Partilha por eventos (NATS) e por CDC (Debezium) quando apropriado; proibida a ligação directa a BD de outro domínio.</w:t>
      </w:r>
    </w:p>
    <w:p>
      <w:pPr>
        <w:pStyle w:val="Heading1"/>
        <w:rPr>
          <w:color w:val="3465A4"/>
        </w:rPr>
      </w:pPr>
      <w:bookmarkStart w:id="10" w:name="__RefHeading___Toc872_2775655786"/>
      <w:bookmarkEnd w:id="10"/>
      <w:r>
        <w:rPr>
          <w:color w:val="3465A4"/>
        </w:rPr>
        <w:t>8. Padrões de Entrega e Operação</w:t>
      </w:r>
    </w:p>
    <w:p>
      <w:pPr>
        <w:pStyle w:val="Normal"/>
        <w:rPr/>
      </w:pPr>
      <w:r>
        <w:rPr/>
        <w:t xml:space="preserve">• </w:t>
      </w:r>
      <w:r>
        <w:rPr/>
        <w:t>CI/CD em GitLab: SAST/DAST, testes, assinatura de imagens (cosign), promoção por ambiente.</w:t>
      </w:r>
    </w:p>
    <w:p>
      <w:pPr>
        <w:pStyle w:val="Normal"/>
        <w:rPr/>
      </w:pPr>
      <w:r>
        <w:rPr/>
        <w:t xml:space="preserve">• </w:t>
      </w:r>
      <w:r>
        <w:rPr/>
        <w:t>GitOps (Argo CD): todo o estado declarativo; *drift detection* e auditoria de mudanças.</w:t>
      </w:r>
    </w:p>
    <w:p>
      <w:pPr>
        <w:pStyle w:val="Normal"/>
        <w:rPr/>
      </w:pPr>
      <w:r>
        <w:rPr/>
        <w:t xml:space="preserve">• </w:t>
      </w:r>
      <w:r>
        <w:rPr/>
        <w:t>Observabilidade obrigatória: métricas, logs e traços; SLO por serviço e *error budget*.</w:t>
      </w:r>
    </w:p>
    <w:p>
      <w:pPr>
        <w:pStyle w:val="Normal"/>
        <w:rPr/>
      </w:pPr>
      <w:r>
        <w:rPr/>
        <w:t xml:space="preserve">• </w:t>
      </w:r>
      <w:r>
        <w:rPr/>
        <w:t>FinOps: custo por serviço/domínio; *showback/chargeback* por ministério; metas de eficiência.</w:t>
      </w:r>
    </w:p>
    <w:p>
      <w:pPr>
        <w:pStyle w:val="Normal"/>
        <w:rPr/>
      </w:pPr>
      <w:r>
        <w:rPr/>
        <w:t xml:space="preserve">• </w:t>
      </w:r>
      <w:r>
        <w:rPr/>
        <w:t>Exercícios de DR trimestrais com relatório público dos resultados e acções correctivas.</w:t>
      </w:r>
    </w:p>
    <w:p>
      <w:pPr>
        <w:pStyle w:val="Heading1"/>
        <w:rPr>
          <w:color w:val="3465A4"/>
        </w:rPr>
      </w:pPr>
      <w:bookmarkStart w:id="11" w:name="__RefHeading___Toc874_2775655786"/>
      <w:bookmarkEnd w:id="11"/>
      <w:r>
        <w:rPr>
          <w:color w:val="3465A4"/>
        </w:rPr>
        <w:t>9. Fases de Implantação</w:t>
      </w:r>
    </w:p>
    <w:tbl>
      <w:tblPr>
        <w:tblStyle w:val="TableGrid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49"/>
        <w:gridCol w:w="3249"/>
        <w:gridCol w:w="3249"/>
      </w:tblGrid>
      <w:tr>
        <w:trPr/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Fase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Conteúdo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Janela</w:t>
            </w:r>
          </w:p>
        </w:tc>
      </w:tr>
      <w:tr>
        <w:trPr/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0 — Fundações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Baselines de segurança; Keycloak; gateway único; GitLab/Harbor; observabilidade; padrões UX.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0–3 meses</w:t>
            </w:r>
          </w:p>
        </w:tc>
      </w:tr>
      <w:tr>
        <w:trPr/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1 — Núcleo de Dados &amp; DR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PostgreSQL/Patroni; Ceph multi</w:t>
              <w:noBreakHyphen/>
              <w:t>site; backups imutáveis; clusters K8s Lx/Pt.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3–6 meses</w:t>
            </w:r>
          </w:p>
        </w:tc>
      </w:tr>
      <w:tr>
        <w:trPr/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2 — PUE &amp; Pilotos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Portal Único; 2–3 domínios piloto (agendamento, pagamentos, dossiê do cidadão).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6–12 meses</w:t>
            </w:r>
          </w:p>
        </w:tc>
      </w:tr>
      <w:tr>
        <w:trPr/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3 — Escala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Expansão por domínios; desligar legados; analítica ClickHouse; IA de segurança.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12–24 meses</w:t>
            </w:r>
          </w:p>
        </w:tc>
      </w:tr>
      <w:tr>
        <w:trPr/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4 — Optimização Contínua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SLA/SLO por serviço; DR drills; governação de dados madura.</w:t>
            </w:r>
          </w:p>
        </w:tc>
        <w:tc>
          <w:tcPr>
            <w:tcW w:w="32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24+ meses</w:t>
            </w:r>
          </w:p>
        </w:tc>
      </w:tr>
    </w:tbl>
    <w:p>
      <w:pPr>
        <w:pStyle w:val="Heading1"/>
        <w:rPr>
          <w:color w:val="3465A4"/>
        </w:rPr>
      </w:pPr>
      <w:bookmarkStart w:id="12" w:name="__RefHeading___Toc876_2775655786"/>
      <w:bookmarkEnd w:id="12"/>
      <w:r>
        <w:rPr>
          <w:color w:val="3465A4"/>
        </w:rPr>
        <w:t>10. Métricas de Sucesso</w:t>
      </w:r>
    </w:p>
    <w:p>
      <w:pPr>
        <w:pStyle w:val="Normal"/>
        <w:rPr/>
      </w:pPr>
      <w:r>
        <w:rPr/>
        <w:t xml:space="preserve">• </w:t>
      </w:r>
      <w:r>
        <w:rPr/>
        <w:t>Simplicidade: portais reduzidos a 1; gateways a 1; catálogos duplicados = 0.</w:t>
      </w:r>
    </w:p>
    <w:p>
      <w:pPr>
        <w:pStyle w:val="Normal"/>
        <w:rPr/>
      </w:pPr>
      <w:r>
        <w:rPr/>
        <w:t xml:space="preserve">• </w:t>
      </w:r>
      <w:r>
        <w:rPr/>
        <w:t>Qualidade: erros 5xx &lt; 0,1%; *lead time* de *deploy* &lt; 1 dia; MTTR &lt; 30 min.</w:t>
      </w:r>
    </w:p>
    <w:p>
      <w:pPr>
        <w:pStyle w:val="Normal"/>
        <w:rPr/>
      </w:pPr>
      <w:r>
        <w:rPr/>
        <w:t xml:space="preserve">• </w:t>
      </w:r>
      <w:r>
        <w:rPr/>
        <w:t>Resiliência: uptime ≥ 99,95%; RPO crítico ≤ 30 s.</w:t>
      </w:r>
    </w:p>
    <w:p>
      <w:pPr>
        <w:pStyle w:val="Normal"/>
        <w:rPr/>
      </w:pPr>
      <w:r>
        <w:rPr/>
        <w:t xml:space="preserve">• </w:t>
      </w:r>
      <w:r>
        <w:rPr/>
        <w:t>Segurança: CVEs críticas corrigidas &lt; 7 dias; *phishing click-rate* ↓ 70%.</w:t>
      </w:r>
    </w:p>
    <w:p>
      <w:pPr>
        <w:pStyle w:val="Normal"/>
        <w:rPr/>
      </w:pPr>
      <w:r>
        <w:rPr/>
        <w:t xml:space="preserve">• </w:t>
      </w:r>
      <w:r>
        <w:rPr/>
        <w:t>Custos: custo por transacção decrescente (FinOps).</w:t>
      </w:r>
    </w:p>
    <w:p>
      <w:pPr>
        <w:pStyle w:val="Heading1"/>
        <w:rPr>
          <w:color w:val="3465A4"/>
        </w:rPr>
      </w:pPr>
      <w:bookmarkStart w:id="13" w:name="__RefHeading___Toc878_2775655786"/>
      <w:bookmarkEnd w:id="13"/>
      <w:r>
        <w:rPr>
          <w:color w:val="3465A4"/>
        </w:rPr>
        <w:t>11. Riscos &amp; Mitigações</w:t>
      </w:r>
    </w:p>
    <w:p>
      <w:pPr>
        <w:pStyle w:val="Normal"/>
        <w:rPr/>
      </w:pPr>
      <w:r>
        <w:rPr/>
        <w:t xml:space="preserve">• </w:t>
      </w:r>
      <w:r>
        <w:rPr/>
        <w:t>Resistência organizacional → mitigação: patrocínio executivo e incentivos de consolidação.</w:t>
      </w:r>
    </w:p>
    <w:p>
      <w:pPr>
        <w:pStyle w:val="Normal"/>
        <w:rPr/>
      </w:pPr>
      <w:r>
        <w:rPr/>
        <w:t xml:space="preserve">• </w:t>
      </w:r>
      <w:r>
        <w:rPr/>
        <w:t>Déficit de competências K8s/OSS → mitigação: academia interna, *pairing* com equipas piloto.</w:t>
      </w:r>
    </w:p>
    <w:p>
      <w:pPr>
        <w:pStyle w:val="Normal"/>
        <w:rPr/>
      </w:pPr>
      <w:r>
        <w:rPr/>
        <w:t xml:space="preserve">• </w:t>
      </w:r>
      <w:r>
        <w:rPr/>
        <w:t>Latência inter</w:t>
        <w:noBreakHyphen/>
        <w:t>DC → mitigação: afinação de quórum e *placement*; usar quase</w:t>
        <w:noBreakHyphen/>
        <w:t>síncrona quando necessário.</w:t>
      </w:r>
    </w:p>
    <w:p>
      <w:pPr>
        <w:pStyle w:val="Normal"/>
        <w:rPr/>
      </w:pPr>
      <w:r>
        <w:rPr/>
        <w:t xml:space="preserve">• </w:t>
      </w:r>
      <w:r>
        <w:rPr/>
        <w:t>Entropia tecnológica → mitigação: catálogo estrito e ADRs obrigatórias.</w:t>
      </w:r>
    </w:p>
    <w:p>
      <w:pPr>
        <w:pStyle w:val="Heading1"/>
        <w:rPr>
          <w:color w:val="3465A4"/>
        </w:rPr>
      </w:pPr>
      <w:bookmarkStart w:id="14" w:name="__RefHeading___Toc880_2775655786"/>
      <w:bookmarkEnd w:id="14"/>
      <w:r>
        <w:rPr>
          <w:color w:val="3465A4"/>
        </w:rPr>
        <w:t>12. Registos de Decisão (ADR) — Resumo</w:t>
      </w:r>
    </w:p>
    <w:p>
      <w:pPr>
        <w:pStyle w:val="Normal"/>
        <w:rPr/>
      </w:pPr>
      <w:r>
        <w:rPr/>
        <w:t>ADR</w:t>
        <w:noBreakHyphen/>
        <w:t>001 — Um Portal Único do Estado (PUE) — Aprovado.</w:t>
      </w:r>
    </w:p>
    <w:p>
      <w:pPr>
        <w:pStyle w:val="Normal"/>
        <w:rPr/>
      </w:pPr>
      <w:r>
        <w:rPr/>
        <w:t>ADR</w:t>
        <w:noBreakHyphen/>
        <w:t>002 — Gateway Único (Envoy/Traefik) — Aprovado.</w:t>
      </w:r>
    </w:p>
    <w:p>
      <w:pPr>
        <w:pStyle w:val="Normal"/>
        <w:rPr/>
      </w:pPr>
      <w:r>
        <w:rPr/>
        <w:t>ADR</w:t>
        <w:noBreakHyphen/>
        <w:t>003 — Identidade com Keycloak (OIDC/SAML) — Aprovado.</w:t>
      </w:r>
    </w:p>
    <w:p>
      <w:pPr>
        <w:pStyle w:val="Normal"/>
        <w:rPr/>
      </w:pPr>
      <w:r>
        <w:rPr/>
        <w:t>ADR</w:t>
        <w:noBreakHyphen/>
        <w:t>004 — Back</w:t>
        <w:noBreakHyphen/>
        <w:t>end padrão FastAPI/Spring — Aprovado.</w:t>
      </w:r>
    </w:p>
    <w:p>
      <w:pPr>
        <w:pStyle w:val="Normal"/>
        <w:rPr/>
      </w:pPr>
      <w:r>
        <w:rPr/>
        <w:t>ADR</w:t>
        <w:noBreakHyphen/>
        <w:t>005 — Dados em PostgreSQL/Patroni — Aprovado.</w:t>
      </w:r>
    </w:p>
    <w:p>
      <w:pPr>
        <w:pStyle w:val="Normal"/>
        <w:rPr/>
      </w:pPr>
      <w:r>
        <w:rPr/>
        <w:t>ADR</w:t>
        <w:noBreakHyphen/>
        <w:t>006 — Object storage com Ceph — Aprovado.</w:t>
      </w:r>
    </w:p>
    <w:p>
      <w:pPr>
        <w:pStyle w:val="Normal"/>
        <w:rPr/>
      </w:pPr>
      <w:r>
        <w:rPr/>
        <w:t>ADR</w:t>
        <w:noBreakHyphen/>
        <w:t>007 — Analítica com ClickHouse/Superset — Aprovado.</w:t>
      </w:r>
    </w:p>
    <w:p>
      <w:pPr>
        <w:pStyle w:val="Normal"/>
        <w:rPr/>
      </w:pPr>
      <w:r>
        <w:rPr/>
        <w:t>ADR</w:t>
        <w:noBreakHyphen/>
        <w:t>008 — Eventos NATS + CDC Debezium — Aprovado.</w:t>
      </w:r>
    </w:p>
    <w:p>
      <w:pPr>
        <w:pStyle w:val="Normal"/>
        <w:rPr/>
      </w:pPr>
      <w:r>
        <w:rPr/>
        <w:t>ADR</w:t>
        <w:noBreakHyphen/>
        <w:t>009 — K8s (Ubuntu+containerd) + GitOps — Aprovado.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rPr>
          <w:color w:val="3465A4"/>
        </w:rPr>
      </w:pPr>
      <w:bookmarkStart w:id="15" w:name="__RefHeading___Toc882_2775655786"/>
      <w:bookmarkEnd w:id="15"/>
      <w:r>
        <w:rPr>
          <w:color w:val="3465A4"/>
        </w:rPr>
        <w:t>13. Figuras</w:t>
      </w:r>
    </w:p>
    <w:p>
      <w:pPr>
        <w:pStyle w:val="Normal"/>
        <w:rPr>
          <w:color w:val="3465A4"/>
        </w:rPr>
      </w:pPr>
      <w:r>
        <w:rPr>
          <w:color w:val="3465A4"/>
        </w:rPr>
      </w:r>
    </w:p>
    <w:p>
      <w:pPr>
        <w:pStyle w:val="Normal"/>
        <w:rPr/>
      </w:pPr>
      <w:r>
        <w:rPr/>
        <w:drawing>
          <wp:inline distT="0" distB="0" distL="0" distR="0">
            <wp:extent cx="6126480" cy="408432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t>Figura 1 — Diagrama lógico (completo)</w:t>
      </w:r>
    </w:p>
    <w:p>
      <w:pPr>
        <w:pStyle w:val="Normal"/>
        <w:rPr/>
      </w:pPr>
      <w:r>
        <w:rPr/>
        <w:drawing>
          <wp:inline distT="0" distB="0" distL="0" distR="0">
            <wp:extent cx="6126480" cy="336931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t>Figura 2 — Diagrama lógico (LITE)</w:t>
      </w:r>
    </w:p>
    <w:p>
      <w:pPr>
        <w:pStyle w:val="Heading1"/>
        <w:rPr>
          <w:color w:val="3465A4"/>
        </w:rPr>
      </w:pPr>
      <w:bookmarkStart w:id="16" w:name="__RefHeading___Toc884_2775655786"/>
      <w:bookmarkEnd w:id="16"/>
      <w:r>
        <w:rPr>
          <w:color w:val="3465A4"/>
        </w:rPr>
        <w:t>14. Anexos</w:t>
      </w:r>
    </w:p>
    <w:p>
      <w:pPr>
        <w:pStyle w:val="Normal"/>
        <w:rPr>
          <w:color w:val="3465A4"/>
        </w:rPr>
      </w:pPr>
      <w:r>
        <w:rPr>
          <w:color w:val="3465A4"/>
        </w:rPr>
      </w:r>
    </w:p>
    <w:p>
      <w:pPr>
        <w:pStyle w:val="Normal"/>
        <w:rPr>
          <w:color w:val="3465A4"/>
        </w:rPr>
      </w:pPr>
      <w:r>
        <w:rPr>
          <w:color w:val="3465A4"/>
        </w:rPr>
      </w:r>
    </w:p>
    <w:p>
      <w:pPr>
        <w:pStyle w:val="Normal"/>
        <w:jc w:val="center"/>
        <w:rPr>
          <w:color w:val="3465A4"/>
        </w:rPr>
      </w:pPr>
      <w:r>
        <w:rPr>
          <w:b/>
          <w:color w:val="3465A4"/>
          <w:sz w:val="48"/>
        </w:rPr>
        <w:t>Anexo A — Checklist de Hardening</w:t>
      </w:r>
    </w:p>
    <w:p>
      <w:pPr>
        <w:pStyle w:val="Normal"/>
        <w:jc w:val="center"/>
        <w:rPr/>
      </w:pPr>
      <w:r>
        <w:rPr>
          <w:color w:val="E8EEF4"/>
          <w:sz w:val="24"/>
        </w:rPr>
        <w:t>Ubuntu LTS e Kubernetes (resumo CIS)</w:t>
      </w:r>
    </w:p>
    <w:p>
      <w:pPr>
        <w:pStyle w:val="Normal"/>
        <w:jc w:val="center"/>
        <w:rPr/>
      </w:pPr>
      <w:r>
        <w:rPr>
          <w:color w:val="B4BEC8"/>
          <w:sz w:val="20"/>
        </w:rPr>
        <w:t>Data: 06/11/2025</w:t>
      </w:r>
    </w:p>
    <w:p>
      <w:pPr>
        <w:pStyle w:val="Heading2"/>
        <w:rPr>
          <w:color w:val="3465A4"/>
        </w:rPr>
      </w:pPr>
      <w:r>
        <w:rPr>
          <w:color w:val="3465A4"/>
        </w:rPr>
        <w:t>A.1 Ubuntu LTS — Sistema Operativo</w:t>
      </w:r>
    </w:p>
    <w:tbl>
      <w:tblPr>
        <w:tblStyle w:val="TableGrid"/>
        <w:tblW w:w="97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36"/>
        <w:gridCol w:w="2436"/>
        <w:gridCol w:w="2436"/>
        <w:gridCol w:w="2435"/>
      </w:tblGrid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Item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Descrição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Comando/Verificação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Estado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Actualizações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Activar actualizações automáticas e patching de segurança.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apt-get update &amp;&amp; apt-get dist-upgrade</w:t>
              <w:br/>
              <w:t>unattended-upgrades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Controlo de acesso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Bloquear root via SSH; usar sudo; 2FA admins.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sshd_config: PermitRootLogin no</w:t>
              <w:br/>
              <w:t>adduser sudo; pam_u2f/pam_google_authenticator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Firewall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Política restritiva por defeito; permitir apenas portas necessárias.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ufw default deny incoming</w:t>
              <w:br/>
              <w:t>ufw allow 443/tcp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Auditd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Activar auditoria do kernel e regras CIS.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apt install auditd</w:t>
              <w:br/>
              <w:t>auditctl -l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Logs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Centralização e retenção; rotação configurada.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/etc/rsyslog.d/ e /etc/logrotate.d/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Criptografia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LUKS para volumes; TLS 1.3 por defeito.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lsblk -f (ver crypt)</w:t>
              <w:br/>
              <w:t>sslyze / testssl.sh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Serviços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Desactivar serviços não utilizados; ports limpos.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ss -tulpen; systemctl disable --now &lt;svc&gt;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NTP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Sincronização segura de tempo (chrony).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apt install chrony</w:t>
              <w:br/>
              <w:t>chronyc sources -v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Integração SIEM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Agente Wazuh/OSSEC e FIM activos.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wazuh-agent status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</w:tbl>
    <w:p>
      <w:pPr>
        <w:pStyle w:val="Heading2"/>
        <w:rPr>
          <w:color w:val="3465A4"/>
        </w:rPr>
      </w:pPr>
      <w:r>
        <w:rPr>
          <w:color w:val="3465A4"/>
        </w:rPr>
        <w:t>A.2 Kubernetes — Control Plane e Nodes</w:t>
      </w:r>
    </w:p>
    <w:tbl>
      <w:tblPr>
        <w:tblStyle w:val="TableGrid"/>
        <w:tblW w:w="97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36"/>
        <w:gridCol w:w="2436"/>
        <w:gridCol w:w="2436"/>
        <w:gridCol w:w="2435"/>
      </w:tblGrid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Item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Descrição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Comando/Verificação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Estado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RBAC estrito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Papéis por namespace; princípio do menor privilégio.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kubectl auth can-i --as=&lt;user&gt; --list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Admission control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OPA/Gatekeeper para políticas; bloquear imagens sem assinatura.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kubectl get constraints</w:t>
              <w:br/>
              <w:t>cosign verify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Segredos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KMS/HSM (OpenBao) e encriptação em repouso.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kube-apiserver --encryption-provider-config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NetworkPolicy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Tráfego L3/L4/7 minimizado por namespace.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kubectl get networkpolicy -A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Pod Security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PSA/PodSecurity admission com baseline/restricted.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kubectl get ns -L pod-security.kubernetes.io/enforce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mTLS interno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Service-to-service mTLS (SPIFFE/SPIRE) quando aplicável.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spiffe-env, certificados rotativos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Auditoria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Audit-logs activos e exportados para SIEM.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kube-apiserver --audit-log-path=...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Nós hardenizados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Kernel lockdown; sysctls seguras; sem login directo.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sysctl -a; /etc/ssh/sshd_config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  <w:tr>
        <w:trPr/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Imagem &amp; Supply chain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Assinatura (cosign), SBOM, scans SAST/DAST.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cosign attest; trivy image</w:t>
            </w:r>
          </w:p>
        </w:tc>
        <w:tc>
          <w:tcPr>
            <w:tcW w:w="24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☐ </w:t>
            </w:r>
            <w:r>
              <w:rPr/>
              <w:t>/ ☑</w:t>
            </w:r>
          </w:p>
        </w:tc>
      </w:tr>
    </w:tbl>
    <w:p>
      <w:pPr>
        <w:pStyle w:val="Heading2"/>
        <w:rPr/>
      </w:pPr>
      <w:r>
        <w:rPr/>
      </w:r>
    </w:p>
    <w:p>
      <w:pPr>
        <w:pStyle w:val="Heading2"/>
        <w:rPr>
          <w:color w:val="3465A4"/>
        </w:rPr>
      </w:pPr>
      <w:r>
        <w:rPr>
          <w:color w:val="3465A4"/>
        </w:rPr>
        <w:t>A.3 Backups e DR (WORM)</w:t>
      </w:r>
    </w:p>
    <w:p>
      <w:pPr>
        <w:pStyle w:val="Normal"/>
        <w:rPr/>
      </w:pPr>
      <w:r>
        <w:rPr/>
        <w:t xml:space="preserve">• </w:t>
      </w:r>
      <w:r>
        <w:rPr/>
        <w:t>pgBackRest com retenção WORM (3-2-1). Ensaios de restauro trimestrais documentados.</w:t>
      </w:r>
    </w:p>
    <w:p>
      <w:pPr>
        <w:pStyle w:val="Normal"/>
        <w:rPr/>
      </w:pPr>
      <w:r>
        <w:rPr/>
        <w:t xml:space="preserve">• </w:t>
      </w:r>
      <w:r>
        <w:rPr/>
        <w:t>Snapshots Ceph programados e espelhamento inter-DC (RBD mirroring).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3465A4"/>
        </w:rPr>
      </w:pPr>
      <w:r>
        <w:rPr>
          <w:b/>
          <w:color w:val="3465A4"/>
          <w:sz w:val="48"/>
        </w:rPr>
        <w:t>Anexo B — Modelo de SLO e Orçamento de Erros</w:t>
      </w:r>
    </w:p>
    <w:p>
      <w:pPr>
        <w:pStyle w:val="Normal"/>
        <w:jc w:val="center"/>
        <w:rPr>
          <w:color w:val="3465A4"/>
        </w:rPr>
      </w:pPr>
      <w:r>
        <w:rPr>
          <w:color w:val="3465A4"/>
          <w:sz w:val="24"/>
        </w:rPr>
        <w:t>Definição de SLI/SLO, janelas e alertas</w:t>
      </w:r>
    </w:p>
    <w:p>
      <w:pPr>
        <w:pStyle w:val="Normal"/>
        <w:jc w:val="center"/>
        <w:rPr>
          <w:color w:val="3465A4"/>
        </w:rPr>
      </w:pPr>
      <w:r>
        <w:rPr>
          <w:color w:val="3465A4"/>
          <w:sz w:val="20"/>
        </w:rPr>
        <w:t>Data: 06/11/2025</w:t>
      </w:r>
    </w:p>
    <w:p>
      <w:pPr>
        <w:pStyle w:val="Heading2"/>
        <w:rPr>
          <w:color w:val="3465A4"/>
        </w:rPr>
      </w:pPr>
      <w:r>
        <w:rPr>
          <w:color w:val="3465A4"/>
        </w:rPr>
        <w:t>B.1 Definições</w:t>
      </w:r>
    </w:p>
    <w:p>
      <w:pPr>
        <w:pStyle w:val="Normal"/>
        <w:rPr/>
      </w:pPr>
      <w:r>
        <w:rPr/>
        <w:t xml:space="preserve">• </w:t>
      </w:r>
      <w:r>
        <w:rPr/>
        <w:t>SLI: Indicador de Nível de Serviço (p.ex., disponibilidade, latência p95, taxa de erros).</w:t>
      </w:r>
    </w:p>
    <w:p>
      <w:pPr>
        <w:pStyle w:val="Normal"/>
        <w:rPr/>
      </w:pPr>
      <w:r>
        <w:rPr/>
        <w:t xml:space="preserve">• </w:t>
      </w:r>
      <w:r>
        <w:rPr/>
        <w:t>SLO: Meta mensurável para um SLI (p.ex., disponibilidade ≥ 99,95%/30 dias).</w:t>
      </w:r>
    </w:p>
    <w:p>
      <w:pPr>
        <w:pStyle w:val="Normal"/>
        <w:rPr/>
      </w:pPr>
      <w:r>
        <w:rPr/>
        <w:t xml:space="preserve">• </w:t>
      </w:r>
      <w:r>
        <w:rPr/>
        <w:t>Orçamento de Erros: 1 − SLO (p.ex., 0,05% de indisponibilidade permitido por janela).</w:t>
      </w:r>
    </w:p>
    <w:p>
      <w:pPr>
        <w:pStyle w:val="Heading2"/>
        <w:rPr>
          <w:color w:val="3465A4"/>
        </w:rPr>
      </w:pPr>
      <w:r>
        <w:rPr>
          <w:color w:val="3465A4"/>
        </w:rPr>
        <w:t>B.2 Tabela de SLO (exemplo)</w:t>
      </w:r>
    </w:p>
    <w:tbl>
      <w:tblPr>
        <w:tblStyle w:val="TableGrid"/>
        <w:tblW w:w="97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4"/>
        <w:gridCol w:w="1623"/>
        <w:gridCol w:w="1625"/>
        <w:gridCol w:w="1624"/>
        <w:gridCol w:w="1623"/>
        <w:gridCol w:w="1624"/>
      </w:tblGrid>
      <w:tr>
        <w:trPr/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Serviço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SLI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SLO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Janela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Medição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Alertas</w:t>
            </w:r>
          </w:p>
        </w:tc>
      </w:tr>
      <w:tr>
        <w:trPr/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Identidade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Disponibilidade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≥ </w:t>
            </w:r>
            <w:r>
              <w:rPr/>
              <w:t>99,99%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30 dias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Probes / Apdex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Budget burn &gt; 2%/h</w:t>
            </w:r>
          </w:p>
        </w:tc>
      </w:tr>
      <w:tr>
        <w:trPr/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Portal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Latência p95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≤ </w:t>
            </w:r>
            <w:r>
              <w:rPr/>
              <w:t>300 ms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7 dias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RUM/Otel traces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p95 &gt; 300ms por 10m</w:t>
            </w:r>
          </w:p>
        </w:tc>
      </w:tr>
      <w:tr>
        <w:trPr/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APIs Domínio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Taxa de erros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≤ </w:t>
            </w:r>
            <w:r>
              <w:rPr/>
              <w:t>0,1%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30 dias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5xx/total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Erro &gt; 0,5% 5m</w:t>
            </w:r>
          </w:p>
        </w:tc>
      </w:tr>
      <w:tr>
        <w:trPr/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PostgreSQL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Tempo de restauro</w:t>
            </w:r>
          </w:p>
        </w:tc>
        <w:tc>
          <w:tcPr>
            <w:tcW w:w="162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≤ </w:t>
            </w:r>
            <w:r>
              <w:rPr/>
              <w:t>15 min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Mensal (DR)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Runbook DR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Falha DR test</w:t>
            </w:r>
          </w:p>
        </w:tc>
      </w:tr>
    </w:tbl>
    <w:p>
      <w:pPr>
        <w:pStyle w:val="Heading2"/>
        <w:rPr>
          <w:color w:val="3465A4"/>
        </w:rPr>
      </w:pPr>
      <w:r>
        <w:rPr>
          <w:color w:val="3465A4"/>
        </w:rPr>
        <w:t>B.3 Fórmulas e Regras</w:t>
      </w:r>
    </w:p>
    <w:p>
      <w:pPr>
        <w:pStyle w:val="Normal"/>
        <w:rPr/>
      </w:pPr>
      <w:r>
        <w:rPr>
          <w:rFonts w:ascii="Courier New" w:hAnsi="Courier New"/>
          <w:sz w:val="20"/>
        </w:rPr>
        <w:t>Disponibilidade (%) = 100 × (1 − Tempo Indisponível / Tempo Total)</w:t>
      </w:r>
    </w:p>
    <w:p>
      <w:pPr>
        <w:pStyle w:val="Normal"/>
        <w:rPr/>
      </w:pPr>
      <w:r>
        <w:rPr>
          <w:rFonts w:ascii="Courier New" w:hAnsi="Courier New"/>
          <w:sz w:val="20"/>
        </w:rPr>
        <w:t>Taxa de Erros (%) = 100 × (5xx + timeouts) / total de pedidos</w:t>
      </w:r>
    </w:p>
    <w:p>
      <w:pPr>
        <w:pStyle w:val="Normal"/>
        <w:rPr/>
      </w:pPr>
      <w:r>
        <w:rPr>
          <w:rFonts w:ascii="Courier New" w:hAnsi="Courier New"/>
          <w:sz w:val="20"/>
        </w:rPr>
        <w:t>Queima de Orçamento (burn rate) = Erros Observados / Orçamento Disponível</w:t>
      </w:r>
    </w:p>
    <w:p>
      <w:pPr>
        <w:pStyle w:val="Heading2"/>
        <w:rPr>
          <w:color w:val="3465A4"/>
        </w:rPr>
      </w:pPr>
      <w:r>
        <w:rPr>
          <w:color w:val="3465A4"/>
        </w:rPr>
        <w:t>B.4 Política de Alertas (exemplo)</w:t>
      </w:r>
    </w:p>
    <w:p>
      <w:pPr>
        <w:pStyle w:val="Normal"/>
        <w:rPr/>
      </w:pPr>
      <w:r>
        <w:rPr/>
        <w:t xml:space="preserve">• </w:t>
      </w:r>
      <w:r>
        <w:rPr/>
        <w:t>Alertas rápidos (5m) para sinais agudos; alertas lentos (1–6h) para tendência de queima de orçamento.</w:t>
      </w:r>
    </w:p>
    <w:p>
      <w:pPr>
        <w:pStyle w:val="Normal"/>
        <w:rPr/>
      </w:pPr>
      <w:r>
        <w:rPr/>
        <w:t xml:space="preserve">• </w:t>
      </w:r>
      <w:r>
        <w:rPr/>
        <w:t>Escalonamento: Nível 1 (on-call), Nível 2 (equipa de domínio), Nível 3 (plataforma/DBA).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3465A4"/>
        </w:rPr>
      </w:pPr>
      <w:r>
        <w:rPr>
          <w:b/>
          <w:color w:val="3465A4"/>
          <w:sz w:val="48"/>
        </w:rPr>
        <w:t>Anexo C — Template de ADR</w:t>
      </w:r>
    </w:p>
    <w:p>
      <w:pPr>
        <w:pStyle w:val="Normal"/>
        <w:jc w:val="center"/>
        <w:rPr>
          <w:color w:val="3465A4"/>
        </w:rPr>
      </w:pPr>
      <w:r>
        <w:rPr>
          <w:color w:val="3465A4"/>
          <w:sz w:val="24"/>
        </w:rPr>
        <w:t>Registo de Decisão de Arquitectura (ADR)</w:t>
      </w:r>
    </w:p>
    <w:p>
      <w:pPr>
        <w:pStyle w:val="Normal"/>
        <w:jc w:val="center"/>
        <w:rPr>
          <w:color w:val="3465A4"/>
        </w:rPr>
      </w:pPr>
      <w:r>
        <w:rPr>
          <w:color w:val="3465A4"/>
          <w:sz w:val="20"/>
        </w:rPr>
        <w:t>Data: 06/11/2025</w:t>
      </w:r>
    </w:p>
    <w:p>
      <w:pPr>
        <w:pStyle w:val="Heading2"/>
        <w:rPr>
          <w:color w:val="3465A4"/>
        </w:rPr>
      </w:pPr>
      <w:r>
        <w:rPr>
          <w:color w:val="3465A4"/>
        </w:rPr>
        <w:t>Cabeçalho</w:t>
      </w:r>
    </w:p>
    <w:p>
      <w:pPr>
        <w:pStyle w:val="Normal"/>
        <w:rPr/>
      </w:pPr>
      <w:r>
        <w:rPr/>
        <w:t>Título: &lt;Tema da decisão&gt;</w:t>
        <w:br/>
        <w:t>ID: ADR-XXX</w:t>
        <w:br/>
        <w:t>Estado: Proposto | Aprovado | Descontinuado</w:t>
        <w:br/>
        <w:t>Data: &lt;DD/MM/AAAA&gt;</w:t>
        <w:br/>
        <w:t>Autores: &lt;Nomes&gt;</w:t>
      </w:r>
    </w:p>
    <w:p>
      <w:pPr>
        <w:pStyle w:val="Heading2"/>
        <w:rPr>
          <w:color w:val="3465A4"/>
        </w:rPr>
      </w:pPr>
      <w:r>
        <w:rPr>
          <w:color w:val="3465A4"/>
        </w:rPr>
        <w:t>Contexto</w:t>
      </w:r>
    </w:p>
    <w:p>
      <w:pPr>
        <w:pStyle w:val="Normal"/>
        <w:rPr/>
      </w:pPr>
      <w:r>
        <w:rPr/>
        <w:t>Descrever o problema, requisitos funcionais e não-funcionais, constrangimentos, suposições e riscos.</w:t>
      </w:r>
    </w:p>
    <w:p>
      <w:pPr>
        <w:pStyle w:val="Heading2"/>
        <w:rPr>
          <w:color w:val="3465A4"/>
        </w:rPr>
      </w:pPr>
      <w:r>
        <w:rPr>
          <w:color w:val="3465A4"/>
        </w:rPr>
        <w:t>Decisão</w:t>
      </w:r>
    </w:p>
    <w:p>
      <w:pPr>
        <w:pStyle w:val="Normal"/>
        <w:rPr/>
      </w:pPr>
      <w:r>
        <w:rPr/>
        <w:t>Descrever a decisão adoptada, âmbito, responsabilidades e fronteiras.</w:t>
      </w:r>
    </w:p>
    <w:p>
      <w:pPr>
        <w:pStyle w:val="Heading2"/>
        <w:rPr>
          <w:color w:val="3465A4"/>
        </w:rPr>
      </w:pPr>
      <w:r>
        <w:rPr>
          <w:color w:val="3465A4"/>
        </w:rPr>
        <w:t>Alternativas Consideradas</w:t>
      </w:r>
    </w:p>
    <w:p>
      <w:pPr>
        <w:pStyle w:val="Normal"/>
        <w:rPr/>
      </w:pPr>
      <w:r>
        <w:rPr/>
        <w:t>- Alternativa A: prós/contras</w:t>
        <w:br/>
        <w:t>- Alternativa B: prós/contras</w:t>
        <w:br/>
        <w:t>- Alternativa C: prós/contras</w:t>
      </w:r>
    </w:p>
    <w:p>
      <w:pPr>
        <w:pStyle w:val="Heading2"/>
        <w:rPr>
          <w:color w:val="3465A4"/>
        </w:rPr>
      </w:pPr>
      <w:r>
        <w:rPr>
          <w:color w:val="3465A4"/>
        </w:rPr>
        <w:t>Consequências</w:t>
      </w:r>
    </w:p>
    <w:p>
      <w:pPr>
        <w:pStyle w:val="Normal"/>
        <w:rPr/>
      </w:pPr>
      <w:r>
        <w:rPr/>
        <w:t>Impactos positivos e negativos; custos; implicações operacionais; plano de mitigação.</w:t>
      </w:r>
    </w:p>
    <w:p>
      <w:pPr>
        <w:pStyle w:val="Heading2"/>
        <w:rPr>
          <w:color w:val="3465A4"/>
        </w:rPr>
      </w:pPr>
      <w:r>
        <w:rPr>
          <w:color w:val="3465A4"/>
        </w:rPr>
        <w:t>Plano de Implementação</w:t>
      </w:r>
    </w:p>
    <w:p>
      <w:pPr>
        <w:pStyle w:val="Normal"/>
        <w:rPr/>
      </w:pPr>
      <w:r>
        <w:rPr/>
        <w:t>Fases, entregáveis, critérios de aceitação, indicadores de sucesso.</w:t>
      </w:r>
    </w:p>
    <w:p>
      <w:pPr>
        <w:pStyle w:val="Heading2"/>
        <w:rPr>
          <w:color w:val="3465A4"/>
        </w:rPr>
      </w:pPr>
      <w:r>
        <w:rPr>
          <w:color w:val="3465A4"/>
        </w:rPr>
        <w:t>Referências</w:t>
      </w:r>
    </w:p>
    <w:p>
      <w:pPr>
        <w:pStyle w:val="Normal"/>
        <w:rPr/>
      </w:pPr>
      <w:r>
        <w:rPr/>
        <w:t>Links para documentos, PoC, benchmarks e pareceres.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3465A4"/>
        </w:rPr>
      </w:pPr>
      <w:r>
        <w:rPr>
          <w:b/>
          <w:color w:val="3465A4"/>
          <w:sz w:val="48"/>
        </w:rPr>
        <w:t>Anexo D — Playbooks de Resposta a Incidentes</w:t>
      </w:r>
    </w:p>
    <w:p>
      <w:pPr>
        <w:pStyle w:val="Normal"/>
        <w:jc w:val="center"/>
        <w:rPr>
          <w:color w:val="3465A4"/>
        </w:rPr>
      </w:pPr>
      <w:r>
        <w:rPr>
          <w:color w:val="3465A4"/>
          <w:sz w:val="24"/>
        </w:rPr>
        <w:t>Detecção, Contenção, Erradicação, Recuperação e Pós</w:t>
        <w:noBreakHyphen/>
        <w:t>Incidente</w:t>
      </w:r>
    </w:p>
    <w:p>
      <w:pPr>
        <w:pStyle w:val="Normal"/>
        <w:jc w:val="center"/>
        <w:rPr>
          <w:color w:val="3465A4"/>
        </w:rPr>
      </w:pPr>
      <w:r>
        <w:rPr>
          <w:color w:val="3465A4"/>
          <w:sz w:val="20"/>
        </w:rPr>
        <w:t>Data: 06/11/2025</w:t>
      </w:r>
    </w:p>
    <w:p>
      <w:pPr>
        <w:pStyle w:val="Heading2"/>
        <w:rPr>
          <w:color w:val="3465A4"/>
        </w:rPr>
      </w:pPr>
      <w:r>
        <w:rPr>
          <w:color w:val="3465A4"/>
        </w:rPr>
        <w:t>D.1 Compromisso de Credenciais (phishing / sessão)</w:t>
      </w:r>
    </w:p>
    <w:p>
      <w:pPr>
        <w:pStyle w:val="Normal"/>
        <w:rPr/>
      </w:pPr>
      <w:r>
        <w:rPr/>
        <w:t>Detecção:</w:t>
        <w:br/>
        <w:t>• Alertas do IdP (Keycloak): falhas de MFA, logins anómalos, IPs improváveis.</w:t>
        <w:br/>
        <w:t>• SIEM: correlação de eventos e uso fora de horário.</w:t>
      </w:r>
    </w:p>
    <w:p>
      <w:pPr>
        <w:pStyle w:val="Normal"/>
        <w:rPr/>
      </w:pPr>
      <w:r>
        <w:rPr/>
        <w:t>Contenção:</w:t>
        <w:br/>
        <w:t>• Reset forçado de tokens e sessões para contas afectadas.</w:t>
        <w:br/>
        <w:t>• Aumentar requisitos de MFA temporariamente para o domínio afectado.</w:t>
      </w:r>
    </w:p>
    <w:p>
      <w:pPr>
        <w:pStyle w:val="Normal"/>
        <w:rPr/>
      </w:pPr>
      <w:r>
        <w:rPr/>
        <w:t>Erradicação:</w:t>
        <w:br/>
        <w:t>• Reimagem de estações comprometidas; rotação de segredos.</w:t>
        <w:br/>
        <w:t>• Caça de indicadores (IOC) em endpoints e logs.</w:t>
      </w:r>
    </w:p>
    <w:p>
      <w:pPr>
        <w:pStyle w:val="Normal"/>
        <w:rPr/>
      </w:pPr>
      <w:r>
        <w:rPr/>
        <w:t>Recuperação:</w:t>
        <w:br/>
        <w:t>• Restaurar acessos mínimos; monitorizar por 14 dias.</w:t>
        <w:br/>
        <w:t>• Treino rápido anti</w:t>
        <w:noBreakHyphen/>
        <w:t>phishing para equipa impactada.</w:t>
      </w:r>
    </w:p>
    <w:p>
      <w:pPr>
        <w:pStyle w:val="Normal"/>
        <w:rPr/>
      </w:pPr>
      <w:r>
        <w:rPr/>
        <w:t>Pós</w:t>
        <w:noBreakHyphen/>
        <w:t>Incidente:</w:t>
        <w:br/>
        <w:t>• Lições aprendidas em 72 h; melhoria de regras do IdP e de deteção no SIEM.</w:t>
      </w:r>
    </w:p>
    <w:p>
      <w:pPr>
        <w:pStyle w:val="Heading2"/>
        <w:rPr>
          <w:color w:val="3465A4"/>
        </w:rPr>
      </w:pPr>
      <w:r>
        <w:rPr>
          <w:color w:val="3465A4"/>
        </w:rPr>
        <w:t>D.2 Ransomware / Cripto</w:t>
        <w:noBreakHyphen/>
        <w:t>malware</w:t>
      </w:r>
    </w:p>
    <w:p>
      <w:pPr>
        <w:pStyle w:val="Normal"/>
        <w:rPr/>
      </w:pPr>
      <w:r>
        <w:rPr/>
        <w:t>Detecção:</w:t>
        <w:br/>
        <w:t>• Detecção via EDR/Wazuh (criptação massiva, processos suspeitos).</w:t>
      </w:r>
    </w:p>
    <w:p>
      <w:pPr>
        <w:pStyle w:val="Normal"/>
        <w:rPr/>
      </w:pPr>
      <w:r>
        <w:rPr/>
        <w:t>Contenção:</w:t>
        <w:br/>
        <w:t>• Isolar segmentos/rede; bloquear C2; desligar partilhas.</w:t>
      </w:r>
    </w:p>
    <w:p>
      <w:pPr>
        <w:pStyle w:val="Normal"/>
        <w:rPr/>
      </w:pPr>
      <w:r>
        <w:rPr/>
        <w:t>Erradicação:</w:t>
        <w:br/>
        <w:t>• Remover binários maliciosos; aplicar patches; reimagem dos hosts.</w:t>
      </w:r>
    </w:p>
    <w:p>
      <w:pPr>
        <w:pStyle w:val="Normal"/>
        <w:rPr/>
      </w:pPr>
      <w:r>
        <w:rPr/>
        <w:t>Recuperação:</w:t>
        <w:br/>
        <w:t>• Restaurar de backups imutáveis (pgBackRest/Ceph) após validação.</w:t>
        <w:br/>
        <w:t>• Verificação de integridade de dados.</w:t>
      </w:r>
    </w:p>
    <w:p>
      <w:pPr>
        <w:pStyle w:val="Normal"/>
        <w:rPr/>
      </w:pPr>
      <w:r>
        <w:rPr/>
        <w:t>Pós</w:t>
        <w:noBreakHyphen/>
        <w:t>Incidente:</w:t>
        <w:br/>
        <w:t>• Auditoria completa; reforço de segmentação; exercícios de restauração trimestrais.</w:t>
      </w:r>
    </w:p>
    <w:p>
      <w:pPr>
        <w:pStyle w:val="Heading2"/>
        <w:rPr>
          <w:color w:val="3465A4"/>
        </w:rPr>
      </w:pPr>
      <w:r>
        <w:rPr>
          <w:color w:val="3465A4"/>
        </w:rPr>
        <w:t>D.3 Exfiltração de Dados</w:t>
      </w:r>
    </w:p>
    <w:p>
      <w:pPr>
        <w:pStyle w:val="Normal"/>
        <w:rPr/>
      </w:pPr>
      <w:r>
        <w:rPr/>
        <w:t>Detecção:</w:t>
        <w:br/>
        <w:t>• Alarmes de volume anómalo (NetFlow/Zeek); acessos a buckets S3 fora do padrão.</w:t>
      </w:r>
    </w:p>
    <w:p>
      <w:pPr>
        <w:pStyle w:val="Normal"/>
        <w:rPr/>
      </w:pPr>
      <w:r>
        <w:rPr/>
        <w:t>Contenção:</w:t>
        <w:br/>
        <w:t>• Cortar chaves/API suspeitas; bloquear egress temporário por tag/namespace.</w:t>
      </w:r>
    </w:p>
    <w:p>
      <w:pPr>
        <w:pStyle w:val="Normal"/>
        <w:rPr/>
      </w:pPr>
      <w:r>
        <w:rPr/>
        <w:t>Erradicação:</w:t>
        <w:br/>
        <w:t>• Revogar chaves; rotação de segredos; varrimento de logs para âmbitos afectados.</w:t>
      </w:r>
    </w:p>
    <w:p>
      <w:pPr>
        <w:pStyle w:val="Normal"/>
        <w:rPr/>
      </w:pPr>
      <w:r>
        <w:rPr/>
        <w:t>Recuperação:</w:t>
        <w:br/>
        <w:t>• Notificar titulares e autoridades conforme RGPD; restaurar configurações seguras.</w:t>
      </w:r>
    </w:p>
    <w:p>
      <w:pPr>
        <w:pStyle w:val="Normal"/>
        <w:rPr/>
      </w:pPr>
      <w:r>
        <w:rPr/>
        <w:t>Pós</w:t>
        <w:noBreakHyphen/>
        <w:t>Incidente:</w:t>
        <w:br/>
        <w:t>• Revisão de políticas de minimização e *data loss prevention*; etiquetagem e encriptação por classificação.</w:t>
      </w:r>
    </w:p>
    <w:p>
      <w:pPr>
        <w:pStyle w:val="Heading2"/>
        <w:rPr>
          <w:color w:val="3465A4"/>
        </w:rPr>
      </w:pPr>
      <w:r>
        <w:rPr>
          <w:color w:val="3465A4"/>
        </w:rPr>
        <w:t>D.4 DDoS a Serviços Públicos</w:t>
      </w:r>
    </w:p>
    <w:p>
      <w:pPr>
        <w:pStyle w:val="Normal"/>
        <w:rPr/>
      </w:pPr>
      <w:r>
        <w:rPr/>
        <w:t>Detecção:</w:t>
        <w:br/>
        <w:t>• Picos de tráfego e queda de SLI de disponibilidade.</w:t>
      </w:r>
    </w:p>
    <w:p>
      <w:pPr>
        <w:pStyle w:val="Normal"/>
        <w:rPr/>
      </w:pPr>
      <w:r>
        <w:rPr/>
        <w:t>Contenção:</w:t>
        <w:br/>
        <w:t>• Activar protecções no gateway/WAF; *rate</w:t>
        <w:noBreakHyphen/>
        <w:t>limit* agressivo; *caching* quando possível.</w:t>
      </w:r>
    </w:p>
    <w:p>
      <w:pPr>
        <w:pStyle w:val="Normal"/>
        <w:rPr/>
      </w:pPr>
      <w:r>
        <w:rPr/>
        <w:t>Erradicação:</w:t>
        <w:br/>
        <w:t>• Ajustar *autoscaling*; activar *shields* de upstreams.</w:t>
      </w:r>
    </w:p>
    <w:p>
      <w:pPr>
        <w:pStyle w:val="Normal"/>
        <w:rPr/>
      </w:pPr>
      <w:r>
        <w:rPr/>
        <w:t>Recuperação:</w:t>
        <w:br/>
        <w:t>• Comunicar estado no portal de estado público; manter canais alternativos.</w:t>
      </w:r>
    </w:p>
    <w:p>
      <w:pPr>
        <w:pStyle w:val="Normal"/>
        <w:rPr/>
      </w:pPr>
      <w:r>
        <w:rPr/>
        <w:t>Pós</w:t>
        <w:noBreakHyphen/>
        <w:t>Incidente:</w:t>
        <w:br/>
        <w:t>• *Post</w:t>
        <w:noBreakHyphen/>
        <w:t>mortem* com métricas de saturação e melhorias no *capacity planning*.</w:t>
      </w:r>
    </w:p>
    <w:p>
      <w:pPr>
        <w:pStyle w:val="Heading2"/>
        <w:rPr>
          <w:color w:val="3465A4"/>
        </w:rPr>
      </w:pPr>
      <w:r>
        <w:rPr>
          <w:color w:val="3465A4"/>
        </w:rPr>
        <w:t>D.5 RACI (papéis)</w:t>
      </w:r>
    </w:p>
    <w:tbl>
      <w:tblPr>
        <w:tblStyle w:val="TableGrid"/>
        <w:tblW w:w="97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9"/>
        <w:gridCol w:w="1949"/>
        <w:gridCol w:w="1949"/>
        <w:gridCol w:w="1949"/>
        <w:gridCol w:w="1950"/>
      </w:tblGrid>
      <w:tr>
        <w:trPr/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Tarefa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Responsável (R)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Aprovador (A)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Consultado (C)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Informado (I)</w:t>
            </w:r>
          </w:p>
        </w:tc>
      </w:tr>
      <w:tr>
        <w:trPr/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Classificação do incidente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SOC Nível 2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Gestor de Segurança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Equipa de Domínio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Comunicação</w:t>
            </w:r>
          </w:p>
        </w:tc>
      </w:tr>
      <w:tr>
        <w:trPr/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Contenção técnica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Plataforma/NetOps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Gestor de Segurança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Domínio afectado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Negócio/Executivo</w:t>
            </w:r>
          </w:p>
        </w:tc>
      </w:tr>
      <w:tr>
        <w:trPr/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Notificação RGPD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DPO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Direcção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Jurídico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Autoridade/Utentes</w:t>
            </w:r>
          </w:p>
        </w:tc>
      </w:tr>
      <w:tr>
        <w:trPr/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*Post</w:t>
              <w:noBreakHyphen/>
              <w:t>mortem*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Equipa de Domínio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Direcção Técnica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Segurança/Plataforma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ＭＳ 明朝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Cs w:val="22"/>
                <w:lang w:val="en-US" w:eastAsia="en-US" w:bidi="ar-SA"/>
              </w:rPr>
              <w:t>Executivo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247" w:right="1247" w:gutter="0" w:header="0" w:top="124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 Light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cstheme="minorBidi" w:eastAsiaTheme="minorEastAsi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FFCC66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FFCC6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FFCC66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Subttulo" w:customStyle="1">
    <w:name w:val="Subtítulo"/>
    <w:qFormat/>
    <w:pPr>
      <w:widowControl/>
      <w:bidi w:val="0"/>
      <w:spacing w:lineRule="auto" w:line="276" w:before="0" w:after="200"/>
      <w:jc w:val="left"/>
    </w:pPr>
    <w:rPr>
      <w:rFonts w:ascii="Calibri Light" w:hAnsi="Calibri Light" w:eastAsia="ＭＳ 明朝" w:cs=""/>
      <w:color w:val="C8D2DC"/>
      <w:kern w:val="0"/>
      <w:sz w:val="28"/>
      <w:szCs w:val="22"/>
      <w:lang w:val="en-US" w:eastAsia="en-US" w:bidi="ar-SA"/>
    </w:rPr>
  </w:style>
  <w:style w:type="paragraph" w:styleId="Contents1">
    <w:name w:val="TOC 1"/>
    <w:basedOn w:val="Index"/>
    <w:pPr>
      <w:tabs>
        <w:tab w:val="clear" w:pos="720"/>
        <w:tab w:val="right" w:pos="9746" w:leader="dot"/>
      </w:tabs>
      <w:ind w:left="0" w:hanging="0"/>
    </w:pPr>
    <w:rPr/>
  </w:style>
  <w:style w:type="paragraph" w:styleId="Contents2">
    <w:name w:val="TOC 2"/>
    <w:basedOn w:val="Index"/>
    <w:pPr>
      <w:tabs>
        <w:tab w:val="clear" w:pos="720"/>
        <w:tab w:val="right" w:pos="9463" w:leader="dot"/>
      </w:tabs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  <Pages>15</Pages>
  <Words>2235</Words>
  <Characters>13432</Characters>
  <CharactersWithSpaces>15305</CharactersWithSpaces>
  <Paragraphs>396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pt-PT</dc:language>
  <cp:lastModifiedBy/>
  <dcterms:modified xsi:type="dcterms:W3CDTF">2025-11-06T16:48:15Z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